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9D" w:rsidRDefault="001A0D9D" w:rsidP="001A0D9D">
      <w:pPr>
        <w:tabs>
          <w:tab w:val="left" w:pos="851"/>
        </w:tabs>
        <w:rPr>
          <w:rFonts w:cs="Arial"/>
          <w:b/>
          <w:bCs/>
        </w:rPr>
      </w:pPr>
      <w:r w:rsidRPr="008E3602">
        <w:rPr>
          <w:rFonts w:cs="Arial"/>
          <w:b/>
          <w:bCs/>
        </w:rPr>
        <w:t xml:space="preserve">Appendix </w:t>
      </w:r>
      <w:r>
        <w:rPr>
          <w:rFonts w:cs="Arial"/>
          <w:b/>
          <w:bCs/>
        </w:rPr>
        <w:t>9 – Risk Assessment</w:t>
      </w:r>
    </w:p>
    <w:p w:rsidR="001A0D9D" w:rsidRPr="008E3602" w:rsidRDefault="001A0D9D" w:rsidP="001A0D9D">
      <w:pPr>
        <w:tabs>
          <w:tab w:val="left" w:pos="851"/>
        </w:tabs>
        <w:rPr>
          <w:rFonts w:cs="Arial"/>
          <w:b/>
          <w:bCs/>
        </w:rPr>
      </w:pPr>
    </w:p>
    <w:tbl>
      <w:tblPr>
        <w:tblW w:w="21405" w:type="dxa"/>
        <w:tblLayout w:type="fixed"/>
        <w:tblLook w:val="04A0" w:firstRow="1" w:lastRow="0" w:firstColumn="1" w:lastColumn="0" w:noHBand="0" w:noVBand="1"/>
      </w:tblPr>
      <w:tblGrid>
        <w:gridCol w:w="957"/>
        <w:gridCol w:w="1134"/>
        <w:gridCol w:w="850"/>
        <w:gridCol w:w="1603"/>
        <w:gridCol w:w="1232"/>
        <w:gridCol w:w="851"/>
        <w:gridCol w:w="36"/>
        <w:gridCol w:w="1098"/>
        <w:gridCol w:w="283"/>
        <w:gridCol w:w="284"/>
        <w:gridCol w:w="283"/>
        <w:gridCol w:w="284"/>
        <w:gridCol w:w="283"/>
        <w:gridCol w:w="284"/>
        <w:gridCol w:w="5278"/>
        <w:gridCol w:w="2554"/>
        <w:gridCol w:w="993"/>
        <w:gridCol w:w="993"/>
        <w:gridCol w:w="993"/>
        <w:gridCol w:w="1132"/>
      </w:tblGrid>
      <w:tr w:rsidR="001A0D9D" w:rsidRPr="002918FC" w:rsidTr="004F64A1">
        <w:trPr>
          <w:trHeight w:val="315"/>
        </w:trPr>
        <w:tc>
          <w:tcPr>
            <w:tcW w:w="5776" w:type="dxa"/>
            <w:gridSpan w:val="5"/>
            <w:tcBorders>
              <w:top w:val="single" w:sz="8" w:space="0" w:color="000000"/>
              <w:left w:val="nil"/>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Date Raised</w:t>
            </w:r>
          </w:p>
        </w:tc>
        <w:tc>
          <w:tcPr>
            <w:tcW w:w="1134" w:type="dxa"/>
            <w:gridSpan w:val="2"/>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Owner</w:t>
            </w:r>
          </w:p>
        </w:tc>
        <w:tc>
          <w:tcPr>
            <w:tcW w:w="567" w:type="dxa"/>
            <w:gridSpan w:val="2"/>
            <w:tcBorders>
              <w:top w:val="single" w:sz="8" w:space="0" w:color="000000"/>
              <w:left w:val="nil"/>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Gross</w:t>
            </w:r>
          </w:p>
        </w:tc>
        <w:tc>
          <w:tcPr>
            <w:tcW w:w="567" w:type="dxa"/>
            <w:gridSpan w:val="2"/>
            <w:tcBorders>
              <w:top w:val="single" w:sz="8" w:space="0" w:color="000000"/>
              <w:left w:val="nil"/>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Current</w:t>
            </w:r>
          </w:p>
        </w:tc>
        <w:tc>
          <w:tcPr>
            <w:tcW w:w="567" w:type="dxa"/>
            <w:gridSpan w:val="2"/>
            <w:tcBorders>
              <w:top w:val="single" w:sz="8" w:space="0" w:color="000000"/>
              <w:left w:val="nil"/>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Residual</w:t>
            </w:r>
          </w:p>
        </w:tc>
        <w:tc>
          <w:tcPr>
            <w:tcW w:w="5278" w:type="dxa"/>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Comments</w:t>
            </w:r>
          </w:p>
        </w:tc>
        <w:tc>
          <w:tcPr>
            <w:tcW w:w="6665" w:type="dxa"/>
            <w:gridSpan w:val="5"/>
            <w:tcBorders>
              <w:top w:val="single" w:sz="8" w:space="0" w:color="000000"/>
              <w:left w:val="nil"/>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Controls</w:t>
            </w:r>
          </w:p>
        </w:tc>
      </w:tr>
      <w:tr w:rsidR="001A0D9D" w:rsidRPr="002918FC" w:rsidTr="004F64A1">
        <w:trPr>
          <w:trHeight w:val="690"/>
        </w:trPr>
        <w:tc>
          <w:tcPr>
            <w:tcW w:w="957"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Title</w:t>
            </w:r>
          </w:p>
        </w:tc>
        <w:tc>
          <w:tcPr>
            <w:tcW w:w="1134"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Risk description</w:t>
            </w:r>
          </w:p>
        </w:tc>
        <w:tc>
          <w:tcPr>
            <w:tcW w:w="850"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Opp/ threat</w:t>
            </w:r>
          </w:p>
        </w:tc>
        <w:tc>
          <w:tcPr>
            <w:tcW w:w="160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Cause</w:t>
            </w:r>
          </w:p>
        </w:tc>
        <w:tc>
          <w:tcPr>
            <w:tcW w:w="1232"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Consequence</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A0D9D" w:rsidRPr="002918FC" w:rsidRDefault="001A0D9D" w:rsidP="009401DF">
            <w:pPr>
              <w:rPr>
                <w:rFonts w:ascii="Calibri" w:hAnsi="Calibri" w:cs="Calibri"/>
                <w:b/>
                <w:bCs/>
                <w:color w:val="FFFFFF"/>
                <w:sz w:val="18"/>
                <w:szCs w:val="18"/>
                <w:lang w:eastAsia="en-GB"/>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p w:rsidR="001A0D9D" w:rsidRPr="002918FC" w:rsidRDefault="001A0D9D" w:rsidP="009401DF">
            <w:pPr>
              <w:rPr>
                <w:rFonts w:ascii="Calibri" w:hAnsi="Calibri" w:cs="Calibri"/>
                <w:b/>
                <w:bCs/>
                <w:color w:val="FFFFFF"/>
                <w:sz w:val="18"/>
                <w:szCs w:val="18"/>
                <w:lang w:eastAsia="en-GB"/>
              </w:rPr>
            </w:pPr>
          </w:p>
        </w:tc>
        <w:tc>
          <w:tcPr>
            <w:tcW w:w="283" w:type="dxa"/>
            <w:tcBorders>
              <w:top w:val="nil"/>
              <w:left w:val="nil"/>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I</w:t>
            </w:r>
          </w:p>
        </w:tc>
        <w:tc>
          <w:tcPr>
            <w:tcW w:w="284"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P</w:t>
            </w:r>
          </w:p>
        </w:tc>
        <w:tc>
          <w:tcPr>
            <w:tcW w:w="28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I</w:t>
            </w:r>
          </w:p>
        </w:tc>
        <w:tc>
          <w:tcPr>
            <w:tcW w:w="284"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P</w:t>
            </w:r>
          </w:p>
        </w:tc>
        <w:tc>
          <w:tcPr>
            <w:tcW w:w="28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I</w:t>
            </w:r>
          </w:p>
        </w:tc>
        <w:tc>
          <w:tcPr>
            <w:tcW w:w="284"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P</w:t>
            </w:r>
          </w:p>
        </w:tc>
        <w:tc>
          <w:tcPr>
            <w:tcW w:w="5278" w:type="dxa"/>
            <w:vMerge/>
            <w:tcBorders>
              <w:top w:val="single" w:sz="8" w:space="0" w:color="000000"/>
              <w:left w:val="single" w:sz="8" w:space="0" w:color="000000"/>
              <w:bottom w:val="single" w:sz="8" w:space="0" w:color="000000"/>
              <w:right w:val="single" w:sz="8" w:space="0" w:color="000000"/>
            </w:tcBorders>
            <w:vAlign w:val="center"/>
            <w:hideMark/>
          </w:tcPr>
          <w:p w:rsidR="001A0D9D" w:rsidRPr="002918FC" w:rsidRDefault="001A0D9D" w:rsidP="009401DF">
            <w:pPr>
              <w:rPr>
                <w:rFonts w:ascii="Calibri" w:hAnsi="Calibri" w:cs="Calibri"/>
                <w:b/>
                <w:bCs/>
                <w:color w:val="FFFFFF"/>
                <w:sz w:val="18"/>
                <w:szCs w:val="18"/>
                <w:lang w:eastAsia="en-GB"/>
              </w:rPr>
            </w:pPr>
          </w:p>
        </w:tc>
        <w:tc>
          <w:tcPr>
            <w:tcW w:w="2554" w:type="dxa"/>
            <w:tcBorders>
              <w:top w:val="nil"/>
              <w:left w:val="nil"/>
              <w:bottom w:val="single" w:sz="8" w:space="0" w:color="000000"/>
              <w:right w:val="nil"/>
            </w:tcBorders>
            <w:shd w:val="clear" w:color="000000" w:fill="000080"/>
            <w:vAlign w:val="center"/>
            <w:hideMark/>
          </w:tcPr>
          <w:p w:rsidR="001A0D9D" w:rsidRPr="002918FC" w:rsidRDefault="001A0D9D" w:rsidP="009401DF">
            <w:pP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Control description</w:t>
            </w:r>
          </w:p>
        </w:tc>
        <w:tc>
          <w:tcPr>
            <w:tcW w:w="99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Due date</w:t>
            </w:r>
          </w:p>
        </w:tc>
        <w:tc>
          <w:tcPr>
            <w:tcW w:w="99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Status</w:t>
            </w:r>
          </w:p>
        </w:tc>
        <w:tc>
          <w:tcPr>
            <w:tcW w:w="993" w:type="dxa"/>
            <w:tcBorders>
              <w:top w:val="nil"/>
              <w:left w:val="single" w:sz="8" w:space="0" w:color="000000"/>
              <w:bottom w:val="single" w:sz="8" w:space="0" w:color="000000"/>
              <w:right w:val="nil"/>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Progress %</w:t>
            </w:r>
          </w:p>
        </w:tc>
        <w:tc>
          <w:tcPr>
            <w:tcW w:w="1132" w:type="dxa"/>
            <w:tcBorders>
              <w:top w:val="nil"/>
              <w:left w:val="single" w:sz="8" w:space="0" w:color="000000"/>
              <w:bottom w:val="single" w:sz="8" w:space="0" w:color="000000"/>
              <w:right w:val="single" w:sz="8" w:space="0" w:color="000000"/>
            </w:tcBorders>
            <w:shd w:val="clear" w:color="000000" w:fill="000080"/>
            <w:vAlign w:val="center"/>
            <w:hideMark/>
          </w:tcPr>
          <w:p w:rsidR="001A0D9D" w:rsidRPr="002918FC" w:rsidRDefault="001A0D9D" w:rsidP="009401DF">
            <w:pPr>
              <w:jc w:val="center"/>
              <w:rPr>
                <w:rFonts w:ascii="Calibri" w:hAnsi="Calibri" w:cs="Calibri"/>
                <w:b/>
                <w:bCs/>
                <w:color w:val="FFFFFF"/>
                <w:sz w:val="18"/>
                <w:szCs w:val="18"/>
                <w:lang w:eastAsia="en-GB"/>
              </w:rPr>
            </w:pPr>
            <w:r w:rsidRPr="002918FC">
              <w:rPr>
                <w:rFonts w:ascii="Calibri" w:hAnsi="Calibri" w:cs="Calibri"/>
                <w:b/>
                <w:bCs/>
                <w:color w:val="FFFFFF"/>
                <w:sz w:val="18"/>
                <w:szCs w:val="18"/>
                <w:lang w:eastAsia="en-GB"/>
              </w:rPr>
              <w:t>Action Owner</w:t>
            </w:r>
          </w:p>
        </w:tc>
      </w:tr>
      <w:tr w:rsidR="001A0D9D" w:rsidRPr="002918FC" w:rsidTr="004F64A1">
        <w:trPr>
          <w:trHeight w:val="300"/>
        </w:trPr>
        <w:tc>
          <w:tcPr>
            <w:tcW w:w="2941" w:type="dxa"/>
            <w:gridSpan w:val="3"/>
            <w:tcBorders>
              <w:top w:val="single" w:sz="8" w:space="0" w:color="000000"/>
              <w:left w:val="nil"/>
              <w:bottom w:val="nil"/>
              <w:right w:val="nil"/>
            </w:tcBorders>
            <w:shd w:val="clear" w:color="000000" w:fill="C4E1FF"/>
            <w:vAlign w:val="center"/>
            <w:hideMark/>
          </w:tcPr>
          <w:p w:rsidR="001A0D9D" w:rsidRPr="002918FC" w:rsidRDefault="001A0D9D" w:rsidP="009401DF">
            <w:pPr>
              <w:rPr>
                <w:rFonts w:ascii="Calibri" w:hAnsi="Calibri" w:cs="Calibri"/>
                <w:b/>
                <w:bCs/>
                <w:color w:val="000000"/>
                <w:sz w:val="18"/>
                <w:szCs w:val="18"/>
                <w:lang w:eastAsia="en-GB"/>
              </w:rPr>
            </w:pPr>
            <w:r w:rsidRPr="002918FC">
              <w:rPr>
                <w:rFonts w:ascii="Calibri" w:hAnsi="Calibri" w:cs="Calibri"/>
                <w:b/>
                <w:bCs/>
                <w:color w:val="000000"/>
                <w:sz w:val="18"/>
                <w:szCs w:val="18"/>
                <w:lang w:eastAsia="en-GB"/>
              </w:rPr>
              <w:t> </w:t>
            </w:r>
          </w:p>
        </w:tc>
        <w:tc>
          <w:tcPr>
            <w:tcW w:w="18464" w:type="dxa"/>
            <w:gridSpan w:val="17"/>
            <w:tcBorders>
              <w:top w:val="single" w:sz="8" w:space="0" w:color="000000"/>
              <w:left w:val="nil"/>
              <w:bottom w:val="nil"/>
              <w:right w:val="nil"/>
            </w:tcBorders>
            <w:shd w:val="clear" w:color="000000" w:fill="C4E1FF"/>
            <w:vAlign w:val="bottom"/>
            <w:hideMark/>
          </w:tcPr>
          <w:p w:rsidR="001A0D9D" w:rsidRPr="002918FC" w:rsidRDefault="001A0D9D" w:rsidP="009401DF">
            <w:pPr>
              <w:rPr>
                <w:rFonts w:ascii="Calibri" w:hAnsi="Calibri" w:cs="Calibri"/>
                <w:color w:val="C4E1FF"/>
                <w:sz w:val="18"/>
                <w:szCs w:val="18"/>
                <w:lang w:eastAsia="en-GB"/>
              </w:rPr>
            </w:pPr>
            <w:r w:rsidRPr="002918FC">
              <w:rPr>
                <w:rFonts w:ascii="Calibri" w:hAnsi="Calibri" w:cs="Calibri"/>
                <w:color w:val="C4E1FF"/>
                <w:sz w:val="18"/>
                <w:szCs w:val="18"/>
                <w:lang w:eastAsia="en-GB"/>
              </w:rPr>
              <w:t> </w:t>
            </w:r>
          </w:p>
        </w:tc>
      </w:tr>
      <w:tr w:rsidR="001A0D9D" w:rsidRPr="00B9268E" w:rsidTr="00B9268E">
        <w:trPr>
          <w:trHeight w:val="2265"/>
        </w:trPr>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1A0D9D" w:rsidRPr="00B9268E" w:rsidRDefault="001A0D9D" w:rsidP="009401DF">
            <w:pPr>
              <w:rPr>
                <w:rFonts w:ascii="Calibri" w:hAnsi="Calibri" w:cs="Calibri"/>
                <w:color w:val="000000"/>
                <w:sz w:val="20"/>
                <w:szCs w:val="20"/>
                <w:lang w:eastAsia="en-GB"/>
              </w:rPr>
            </w:pPr>
            <w:r w:rsidRPr="00B9268E">
              <w:rPr>
                <w:rFonts w:ascii="Calibri" w:hAnsi="Calibri" w:cs="Calibri"/>
                <w:color w:val="000000"/>
                <w:sz w:val="20"/>
                <w:szCs w:val="20"/>
                <w:lang w:eastAsia="en-GB"/>
              </w:rPr>
              <w:t> </w:t>
            </w:r>
            <w:r w:rsidRPr="00B9268E">
              <w:rPr>
                <w:rFonts w:ascii="Calibri" w:hAnsi="Calibri" w:cs="Calibri"/>
                <w:sz w:val="20"/>
                <w:szCs w:val="20"/>
              </w:rPr>
              <w:t>Legal challenge</w:t>
            </w:r>
          </w:p>
        </w:tc>
        <w:tc>
          <w:tcPr>
            <w:tcW w:w="1134"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A0D9D">
            <w:pPr>
              <w:rPr>
                <w:rFonts w:ascii="Calibri" w:hAnsi="Calibri" w:cs="Calibri"/>
                <w:color w:val="000000"/>
                <w:sz w:val="20"/>
                <w:szCs w:val="20"/>
                <w:lang w:eastAsia="en-GB"/>
              </w:rPr>
            </w:pPr>
            <w:r w:rsidRPr="00B9268E">
              <w:rPr>
                <w:rFonts w:ascii="Calibri" w:hAnsi="Calibri" w:cs="Calibri"/>
                <w:color w:val="000000"/>
                <w:sz w:val="20"/>
                <w:szCs w:val="20"/>
                <w:lang w:eastAsia="en-GB"/>
              </w:rPr>
              <w:t> </w:t>
            </w:r>
            <w:r w:rsidRPr="00B9268E">
              <w:rPr>
                <w:rFonts w:ascii="Calibri" w:hAnsi="Calibri" w:cs="Calibri"/>
                <w:sz w:val="20"/>
                <w:szCs w:val="20"/>
              </w:rPr>
              <w:t>High Court challenge – any aggrieved person may request a judicial review during the 6 week period following adoption of the Plan</w:t>
            </w:r>
          </w:p>
        </w:tc>
        <w:tc>
          <w:tcPr>
            <w:tcW w:w="850"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jc w:val="center"/>
              <w:rPr>
                <w:rFonts w:ascii="Calibri" w:hAnsi="Calibri" w:cs="Calibri"/>
                <w:color w:val="000000"/>
                <w:sz w:val="20"/>
                <w:szCs w:val="20"/>
                <w:lang w:eastAsia="en-GB"/>
              </w:rPr>
            </w:pPr>
            <w:r w:rsidRPr="00B9268E">
              <w:rPr>
                <w:rFonts w:ascii="Calibri" w:hAnsi="Calibri" w:cs="Calibri"/>
                <w:color w:val="000000"/>
                <w:sz w:val="20"/>
                <w:szCs w:val="20"/>
                <w:lang w:eastAsia="en-GB"/>
              </w:rPr>
              <w:t> </w:t>
            </w:r>
            <w:r w:rsidRPr="00B9268E">
              <w:rPr>
                <w:rFonts w:ascii="Calibri" w:hAnsi="Calibri" w:cs="Calibri"/>
                <w:sz w:val="20"/>
                <w:szCs w:val="20"/>
              </w:rPr>
              <w:t>Threat</w:t>
            </w:r>
          </w:p>
        </w:tc>
        <w:tc>
          <w:tcPr>
            <w:tcW w:w="160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A0D9D">
            <w:pPr>
              <w:rPr>
                <w:rFonts w:ascii="Calibri" w:hAnsi="Calibri" w:cs="Calibri"/>
                <w:color w:val="000000"/>
                <w:sz w:val="20"/>
                <w:szCs w:val="20"/>
                <w:lang w:eastAsia="en-GB"/>
              </w:rPr>
            </w:pPr>
            <w:r w:rsidRPr="00B9268E">
              <w:rPr>
                <w:rFonts w:ascii="Calibri" w:hAnsi="Calibri" w:cs="Calibri"/>
                <w:color w:val="000000"/>
                <w:sz w:val="20"/>
                <w:szCs w:val="20"/>
                <w:lang w:eastAsia="en-GB"/>
              </w:rPr>
              <w:t> </w:t>
            </w:r>
            <w:r w:rsidRPr="00B9268E">
              <w:rPr>
                <w:rFonts w:ascii="Calibri" w:hAnsi="Calibri" w:cs="Calibri"/>
                <w:sz w:val="20"/>
                <w:szCs w:val="20"/>
              </w:rPr>
              <w:t>Aggrieved person(s) who are unhappy with the adopted Local Plan may decide to exercise their right to apply for a judicial review.  In order for a legal challenge to be successful, the High Court would have to be satisfied that the Plan is to any extent outside the appropriate power, and/or that the interests of the applicant have been substantially prejudiced by a failure to comply with a procedural requirement.</w:t>
            </w:r>
          </w:p>
        </w:tc>
        <w:tc>
          <w:tcPr>
            <w:tcW w:w="1232"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A0D9D">
            <w:pPr>
              <w:rPr>
                <w:rFonts w:ascii="Calibri" w:hAnsi="Calibri" w:cs="Calibri"/>
                <w:color w:val="000000"/>
                <w:sz w:val="20"/>
                <w:szCs w:val="20"/>
                <w:lang w:eastAsia="en-GB"/>
              </w:rPr>
            </w:pPr>
            <w:r w:rsidRPr="00B9268E">
              <w:rPr>
                <w:rFonts w:ascii="Calibri" w:hAnsi="Calibri" w:cs="Calibri"/>
                <w:sz w:val="20"/>
                <w:szCs w:val="20"/>
              </w:rPr>
              <w:t xml:space="preserve">If successful the High Court would rule that the Local Plan be quashed, wholly or in part, or that a stage would need to be repeated. </w:t>
            </w:r>
          </w:p>
        </w:tc>
        <w:tc>
          <w:tcPr>
            <w:tcW w:w="887" w:type="dxa"/>
            <w:gridSpan w:val="2"/>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A0D9D">
            <w:pPr>
              <w:jc w:val="center"/>
              <w:rPr>
                <w:rFonts w:ascii="Calibri" w:hAnsi="Calibri" w:cs="Calibri"/>
                <w:color w:val="000000"/>
                <w:sz w:val="20"/>
                <w:szCs w:val="20"/>
                <w:lang w:eastAsia="en-GB"/>
              </w:rPr>
            </w:pPr>
            <w:r w:rsidRPr="00B9268E">
              <w:rPr>
                <w:rFonts w:ascii="Calibri" w:hAnsi="Calibri" w:cs="Calibri"/>
                <w:color w:val="000000"/>
                <w:sz w:val="20"/>
                <w:szCs w:val="20"/>
                <w:lang w:eastAsia="en-GB"/>
              </w:rPr>
              <w:t> 11.05.20</w:t>
            </w:r>
          </w:p>
        </w:tc>
        <w:tc>
          <w:tcPr>
            <w:tcW w:w="1098"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A0D9D">
            <w:pPr>
              <w:rPr>
                <w:rFonts w:ascii="Calibri" w:hAnsi="Calibri" w:cs="Calibri"/>
                <w:color w:val="000000"/>
                <w:sz w:val="20"/>
                <w:szCs w:val="20"/>
                <w:lang w:eastAsia="en-GB"/>
              </w:rPr>
            </w:pPr>
            <w:r w:rsidRPr="00B9268E">
              <w:rPr>
                <w:rFonts w:ascii="Calibri" w:hAnsi="Calibri" w:cs="Calibri"/>
                <w:color w:val="000000"/>
                <w:sz w:val="20"/>
                <w:szCs w:val="20"/>
                <w:lang w:eastAsia="en-GB"/>
              </w:rPr>
              <w:t xml:space="preserve">Head of Planning </w:t>
            </w:r>
          </w:p>
        </w:tc>
        <w:tc>
          <w:tcPr>
            <w:tcW w:w="28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eastAsia="Arial Unicode MS" w:hAnsi="Calibri" w:cs="Calibri"/>
                <w:sz w:val="20"/>
                <w:szCs w:val="20"/>
              </w:rPr>
            </w:pPr>
            <w:r w:rsidRPr="00B9268E">
              <w:rPr>
                <w:rFonts w:ascii="Calibri" w:hAnsi="Calibri" w:cs="Calibri"/>
                <w:sz w:val="20"/>
                <w:szCs w:val="20"/>
              </w:rPr>
              <w:t> 4</w:t>
            </w:r>
          </w:p>
        </w:tc>
        <w:tc>
          <w:tcPr>
            <w:tcW w:w="284"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eastAsia="Arial Unicode MS" w:hAnsi="Calibri" w:cs="Calibri"/>
                <w:sz w:val="20"/>
                <w:szCs w:val="20"/>
              </w:rPr>
            </w:pPr>
            <w:r w:rsidRPr="00B9268E">
              <w:rPr>
                <w:rFonts w:ascii="Calibri" w:hAnsi="Calibri" w:cs="Calibri"/>
                <w:sz w:val="20"/>
                <w:szCs w:val="20"/>
              </w:rPr>
              <w:t> 3</w:t>
            </w:r>
          </w:p>
        </w:tc>
        <w:tc>
          <w:tcPr>
            <w:tcW w:w="28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eastAsia="Arial Unicode MS" w:hAnsi="Calibri" w:cs="Calibri"/>
                <w:sz w:val="20"/>
                <w:szCs w:val="20"/>
              </w:rPr>
            </w:pPr>
            <w:r w:rsidRPr="00B9268E">
              <w:rPr>
                <w:rFonts w:ascii="Calibri" w:hAnsi="Calibri" w:cs="Calibri"/>
                <w:sz w:val="20"/>
                <w:szCs w:val="20"/>
              </w:rPr>
              <w:t> 4</w:t>
            </w:r>
          </w:p>
        </w:tc>
        <w:tc>
          <w:tcPr>
            <w:tcW w:w="284"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eastAsia="Arial Unicode MS" w:hAnsi="Calibri" w:cs="Calibri"/>
                <w:sz w:val="20"/>
                <w:szCs w:val="20"/>
              </w:rPr>
            </w:pPr>
            <w:r w:rsidRPr="00B9268E">
              <w:rPr>
                <w:rFonts w:ascii="Calibri" w:hAnsi="Calibri" w:cs="Calibri"/>
                <w:sz w:val="20"/>
                <w:szCs w:val="20"/>
              </w:rPr>
              <w:t> 2</w:t>
            </w:r>
          </w:p>
        </w:tc>
        <w:tc>
          <w:tcPr>
            <w:tcW w:w="28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eastAsia="Arial Unicode MS" w:hAnsi="Calibri" w:cs="Calibri"/>
                <w:sz w:val="20"/>
                <w:szCs w:val="20"/>
              </w:rPr>
            </w:pPr>
            <w:r w:rsidRPr="00B9268E">
              <w:rPr>
                <w:rFonts w:ascii="Calibri" w:hAnsi="Calibri" w:cs="Calibri"/>
                <w:sz w:val="20"/>
                <w:szCs w:val="20"/>
              </w:rPr>
              <w:t> 4</w:t>
            </w:r>
          </w:p>
        </w:tc>
        <w:tc>
          <w:tcPr>
            <w:tcW w:w="284"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hAnsi="Calibri" w:cs="Calibri"/>
                <w:sz w:val="20"/>
                <w:szCs w:val="20"/>
              </w:rPr>
            </w:pPr>
            <w:r w:rsidRPr="00B9268E">
              <w:rPr>
                <w:rFonts w:ascii="Calibri" w:hAnsi="Calibri" w:cs="Calibri"/>
                <w:sz w:val="20"/>
                <w:szCs w:val="20"/>
              </w:rPr>
              <w:t> 2</w:t>
            </w:r>
          </w:p>
        </w:tc>
        <w:tc>
          <w:tcPr>
            <w:tcW w:w="5278" w:type="dxa"/>
            <w:tcBorders>
              <w:top w:val="single" w:sz="4" w:space="0" w:color="auto"/>
              <w:left w:val="nil"/>
              <w:bottom w:val="single" w:sz="4" w:space="0" w:color="auto"/>
              <w:right w:val="single" w:sz="4" w:space="0" w:color="auto"/>
            </w:tcBorders>
            <w:shd w:val="clear" w:color="000000" w:fill="FFFFFF"/>
            <w:hideMark/>
          </w:tcPr>
          <w:p w:rsidR="004F64A1" w:rsidRPr="00B9268E" w:rsidRDefault="004F64A1" w:rsidP="004F64A1">
            <w:pPr>
              <w:rPr>
                <w:rFonts w:ascii="Calibri" w:hAnsi="Calibri" w:cs="Calibri"/>
                <w:sz w:val="20"/>
                <w:szCs w:val="20"/>
              </w:rPr>
            </w:pPr>
            <w:r w:rsidRPr="00B9268E">
              <w:rPr>
                <w:rFonts w:ascii="Calibri" w:hAnsi="Calibri" w:cs="Calibri"/>
                <w:sz w:val="20"/>
                <w:szCs w:val="20"/>
              </w:rPr>
              <w:t xml:space="preserve">Officers consider that the relevant statutory procedures have been met during the preparation of the Local Plan 2036. The examination was conducted by two experienced planning inspectors and the report has carefully considered the soundness of the plan in detail to reach their conclusions. We therefore think the risk of a successful legal challenge is low. </w:t>
            </w:r>
          </w:p>
          <w:p w:rsidR="004F64A1" w:rsidRPr="00B9268E" w:rsidRDefault="004F64A1" w:rsidP="004F64A1">
            <w:pPr>
              <w:rPr>
                <w:rFonts w:ascii="Calibri" w:hAnsi="Calibri" w:cs="Calibri"/>
                <w:sz w:val="20"/>
                <w:szCs w:val="20"/>
              </w:rPr>
            </w:pPr>
          </w:p>
          <w:p w:rsidR="004F64A1" w:rsidRPr="00B9268E" w:rsidRDefault="004F64A1" w:rsidP="004F64A1">
            <w:pPr>
              <w:rPr>
                <w:rFonts w:ascii="Calibri" w:hAnsi="Calibri" w:cs="Calibri"/>
                <w:sz w:val="20"/>
                <w:szCs w:val="20"/>
              </w:rPr>
            </w:pPr>
            <w:r w:rsidRPr="00B9268E">
              <w:rPr>
                <w:rFonts w:ascii="Calibri" w:hAnsi="Calibri" w:cs="Calibri"/>
                <w:sz w:val="20"/>
                <w:szCs w:val="20"/>
              </w:rPr>
              <w:t>The only area of the statutory procedures that cannot be wholly fulfilled relate to the deposition of hard copies of the plan upon receipt of the Inspectors report and adoption because of Covid-19 and the associated social distancing measures. The Regulations require deposit of hard copies of the Inspectors’ report in the City Council’s principal office and other deposit locations (</w:t>
            </w:r>
            <w:r w:rsidRPr="00B9268E">
              <w:rPr>
                <w:rFonts w:ascii="Calibri" w:hAnsi="Calibri" w:cs="Calibri"/>
                <w:sz w:val="22"/>
                <w:szCs w:val="22"/>
              </w:rPr>
              <w:t>libraries</w:t>
            </w:r>
            <w:r w:rsidRPr="00B9268E">
              <w:rPr>
                <w:rFonts w:ascii="Calibri" w:hAnsi="Calibri" w:cs="Calibri"/>
                <w:sz w:val="20"/>
                <w:szCs w:val="20"/>
              </w:rPr>
              <w:t xml:space="preserve"> within the city), all of which are currently closed to the public. The same requirement (Regulation 35) applies on adoption of the Local Plan as applies to receipt of the Inspectors’ report; that is deposit in the Council’s principal office and other deposit locations is required. Having taken legal advice, it is considered that, given the wide ranging measures being taken to minimise the impact of not complying with this procedural requirement that is in line with the latest Government guidance the risk of a successful challenge on this ground is low, particularly in the context of the clear steer within the latest Government guidance.  </w:t>
            </w:r>
          </w:p>
          <w:p w:rsidR="004F64A1" w:rsidRPr="00B9268E" w:rsidRDefault="004F64A1" w:rsidP="004F64A1">
            <w:pPr>
              <w:rPr>
                <w:rFonts w:ascii="Calibri" w:hAnsi="Calibri" w:cs="Calibri"/>
                <w:sz w:val="20"/>
                <w:szCs w:val="20"/>
              </w:rPr>
            </w:pPr>
          </w:p>
          <w:p w:rsidR="004F64A1" w:rsidRPr="00B9268E" w:rsidRDefault="004F64A1" w:rsidP="004F64A1">
            <w:pPr>
              <w:rPr>
                <w:rFonts w:ascii="Calibri" w:hAnsi="Calibri" w:cs="Calibri"/>
                <w:sz w:val="20"/>
                <w:szCs w:val="20"/>
              </w:rPr>
            </w:pPr>
            <w:r w:rsidRPr="00B9268E">
              <w:rPr>
                <w:rFonts w:ascii="Calibri" w:hAnsi="Calibri" w:cs="Calibri"/>
                <w:sz w:val="20"/>
                <w:szCs w:val="20"/>
              </w:rPr>
              <w:t xml:space="preserve">If a challenge in the High Court was successful on this basis (which is considered to be a low risk), the outcome would likely be that the relevant procedural requirement would need to be carried out before the Local Plan could be considered again for adoption. A challenge under these circumstances would not relate to the content of the Inspectors’ report, which would be expected to continue to carry significant weight for decision making. It is considered that given the level of risk, it is appropriate to continue with the adoption of the Local Plan when taking into account the benefits having an up to date development plan in place brings. </w:t>
            </w:r>
          </w:p>
          <w:p w:rsidR="001A0D9D" w:rsidRPr="00B9268E" w:rsidRDefault="001A0D9D" w:rsidP="001A0D9D">
            <w:pPr>
              <w:rPr>
                <w:rFonts w:ascii="Calibri" w:hAnsi="Calibri" w:cs="Calibri"/>
                <w:color w:val="000000"/>
                <w:sz w:val="20"/>
                <w:szCs w:val="20"/>
                <w:lang w:eastAsia="en-GB"/>
              </w:rPr>
            </w:pPr>
          </w:p>
        </w:tc>
        <w:tc>
          <w:tcPr>
            <w:tcW w:w="2554"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EA4A66">
            <w:pPr>
              <w:rPr>
                <w:rFonts w:ascii="Calibri" w:hAnsi="Calibri" w:cs="Calibri"/>
                <w:color w:val="000000"/>
                <w:sz w:val="20"/>
                <w:szCs w:val="20"/>
                <w:lang w:eastAsia="en-GB"/>
              </w:rPr>
            </w:pPr>
            <w:r w:rsidRPr="00B9268E">
              <w:rPr>
                <w:rFonts w:ascii="Calibri" w:hAnsi="Calibri" w:cs="Calibri"/>
                <w:color w:val="000000"/>
                <w:sz w:val="20"/>
                <w:szCs w:val="20"/>
                <w:lang w:eastAsia="en-GB"/>
              </w:rPr>
              <w:t> </w:t>
            </w:r>
            <w:r w:rsidR="004F64A1" w:rsidRPr="00B9268E">
              <w:rPr>
                <w:rFonts w:ascii="Calibri" w:hAnsi="Calibri" w:cs="Calibri"/>
                <w:color w:val="000000"/>
                <w:sz w:val="20"/>
                <w:szCs w:val="20"/>
                <w:lang w:eastAsia="en-GB"/>
              </w:rPr>
              <w:t>T</w:t>
            </w:r>
            <w:r w:rsidR="004F64A1" w:rsidRPr="00B9268E">
              <w:rPr>
                <w:rFonts w:ascii="Calibri" w:hAnsi="Calibri" w:cs="Calibri"/>
                <w:sz w:val="20"/>
                <w:szCs w:val="20"/>
              </w:rPr>
              <w:t xml:space="preserve">he relevant statutory procedures have been met during the preparation of the Local Plan 2036. The examination was conducted by two experienced planning inspectors. The council have put in place temporary measures and an addendum to the SCI to mitigate the impact of hard copies not being available at the council offices and key deposit </w:t>
            </w:r>
            <w:r w:rsidR="00EA4A66" w:rsidRPr="00B9268E">
              <w:rPr>
                <w:rFonts w:ascii="Calibri" w:hAnsi="Calibri" w:cs="Calibri"/>
                <w:sz w:val="20"/>
                <w:szCs w:val="20"/>
              </w:rPr>
              <w:t>locations</w:t>
            </w:r>
            <w:r w:rsidR="004F64A1" w:rsidRPr="00B9268E">
              <w:rPr>
                <w:rFonts w:ascii="Calibri" w:hAnsi="Calibri" w:cs="Calibri"/>
                <w:sz w:val="20"/>
                <w:szCs w:val="20"/>
              </w:rPr>
              <w:t xml:space="preserve"> in line with latest Government guidance. </w:t>
            </w:r>
          </w:p>
        </w:tc>
        <w:tc>
          <w:tcPr>
            <w:tcW w:w="99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35FB8">
            <w:pPr>
              <w:rPr>
                <w:rFonts w:ascii="Calibri" w:hAnsi="Calibri" w:cs="Calibri"/>
                <w:color w:val="000000"/>
                <w:sz w:val="20"/>
                <w:szCs w:val="20"/>
                <w:lang w:eastAsia="en-GB"/>
              </w:rPr>
            </w:pPr>
            <w:r w:rsidRPr="00B9268E">
              <w:rPr>
                <w:rFonts w:ascii="Calibri" w:hAnsi="Calibri" w:cs="Calibri"/>
                <w:color w:val="000000"/>
                <w:sz w:val="20"/>
                <w:szCs w:val="20"/>
                <w:lang w:eastAsia="en-GB"/>
              </w:rPr>
              <w:t> Period for challeng</w:t>
            </w:r>
            <w:r w:rsidR="00135FB8" w:rsidRPr="00B9268E">
              <w:rPr>
                <w:rFonts w:ascii="Calibri" w:hAnsi="Calibri" w:cs="Calibri"/>
                <w:color w:val="000000"/>
                <w:sz w:val="20"/>
                <w:szCs w:val="20"/>
                <w:lang w:eastAsia="en-GB"/>
              </w:rPr>
              <w:t>e ends six weeks from adoption</w:t>
            </w:r>
            <w:r w:rsidR="00DD6FFA" w:rsidRPr="00B9268E">
              <w:rPr>
                <w:rFonts w:ascii="Calibri" w:hAnsi="Calibri" w:cs="Calibri"/>
                <w:color w:val="000000"/>
                <w:sz w:val="20"/>
                <w:szCs w:val="20"/>
                <w:lang w:eastAsia="en-GB"/>
              </w:rPr>
              <w:t xml:space="preserve"> (Tue 21</w:t>
            </w:r>
            <w:r w:rsidR="00DD6FFA" w:rsidRPr="00B9268E">
              <w:rPr>
                <w:rFonts w:ascii="Calibri" w:hAnsi="Calibri" w:cs="Calibri"/>
                <w:color w:val="000000"/>
                <w:sz w:val="20"/>
                <w:szCs w:val="20"/>
                <w:vertAlign w:val="superscript"/>
                <w:lang w:eastAsia="en-GB"/>
              </w:rPr>
              <w:t>st</w:t>
            </w:r>
            <w:r w:rsidR="00DD6FFA" w:rsidRPr="00B9268E">
              <w:rPr>
                <w:rFonts w:ascii="Calibri" w:hAnsi="Calibri" w:cs="Calibri"/>
                <w:color w:val="000000"/>
                <w:sz w:val="20"/>
                <w:szCs w:val="20"/>
                <w:lang w:eastAsia="en-GB"/>
              </w:rPr>
              <w:t xml:space="preserve"> July)</w:t>
            </w:r>
          </w:p>
        </w:tc>
        <w:tc>
          <w:tcPr>
            <w:tcW w:w="99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rPr>
                <w:rFonts w:ascii="Calibri" w:hAnsi="Calibri" w:cs="Calibri"/>
                <w:color w:val="000000"/>
                <w:sz w:val="20"/>
                <w:szCs w:val="20"/>
                <w:lang w:eastAsia="en-GB"/>
              </w:rPr>
            </w:pPr>
            <w:r w:rsidRPr="00B9268E">
              <w:rPr>
                <w:rFonts w:ascii="Calibri" w:hAnsi="Calibri" w:cs="Calibri"/>
                <w:color w:val="000000"/>
                <w:sz w:val="20"/>
                <w:szCs w:val="20"/>
                <w:lang w:eastAsia="en-GB"/>
              </w:rPr>
              <w:t>On-going </w:t>
            </w:r>
          </w:p>
        </w:tc>
        <w:tc>
          <w:tcPr>
            <w:tcW w:w="993"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9401DF">
            <w:pPr>
              <w:jc w:val="center"/>
              <w:rPr>
                <w:rFonts w:ascii="Calibri" w:hAnsi="Calibri" w:cs="Calibri"/>
                <w:color w:val="000000"/>
                <w:sz w:val="20"/>
                <w:szCs w:val="20"/>
                <w:lang w:eastAsia="en-GB"/>
              </w:rPr>
            </w:pPr>
            <w:r w:rsidRPr="00B9268E">
              <w:rPr>
                <w:rFonts w:ascii="Calibri" w:hAnsi="Calibri" w:cs="Calibri"/>
                <w:color w:val="000000"/>
                <w:sz w:val="20"/>
                <w:szCs w:val="20"/>
                <w:lang w:eastAsia="en-GB"/>
              </w:rPr>
              <w:t> </w:t>
            </w:r>
          </w:p>
        </w:tc>
        <w:tc>
          <w:tcPr>
            <w:tcW w:w="1132" w:type="dxa"/>
            <w:tcBorders>
              <w:top w:val="single" w:sz="4" w:space="0" w:color="auto"/>
              <w:left w:val="nil"/>
              <w:bottom w:val="single" w:sz="4" w:space="0" w:color="auto"/>
              <w:right w:val="single" w:sz="4" w:space="0" w:color="auto"/>
            </w:tcBorders>
            <w:shd w:val="clear" w:color="000000" w:fill="FFFFFF"/>
            <w:hideMark/>
          </w:tcPr>
          <w:p w:rsidR="001A0D9D" w:rsidRPr="00B9268E" w:rsidRDefault="001A0D9D" w:rsidP="00135FB8">
            <w:pPr>
              <w:rPr>
                <w:rFonts w:ascii="Calibri" w:hAnsi="Calibri" w:cs="Calibri"/>
                <w:color w:val="000000"/>
                <w:sz w:val="20"/>
                <w:szCs w:val="20"/>
                <w:lang w:eastAsia="en-GB"/>
              </w:rPr>
            </w:pPr>
            <w:r w:rsidRPr="00B9268E">
              <w:rPr>
                <w:rFonts w:ascii="Calibri" w:hAnsi="Calibri" w:cs="Calibri"/>
                <w:color w:val="000000"/>
                <w:sz w:val="20"/>
                <w:szCs w:val="20"/>
                <w:lang w:eastAsia="en-GB"/>
              </w:rPr>
              <w:t xml:space="preserve">Head of Planning </w:t>
            </w:r>
          </w:p>
        </w:tc>
      </w:tr>
    </w:tbl>
    <w:p w:rsidR="001A0D9D" w:rsidRPr="00EE4E84" w:rsidRDefault="001A0D9D" w:rsidP="001A0D9D">
      <w:pPr>
        <w:tabs>
          <w:tab w:val="left" w:pos="1620"/>
        </w:tabs>
        <w:ind w:left="1620" w:hanging="1620"/>
        <w:rPr>
          <w:rFonts w:cs="Arial"/>
          <w:bCs/>
        </w:rPr>
      </w:pPr>
    </w:p>
    <w:p w:rsidR="001A0D9D" w:rsidRDefault="001A0D9D" w:rsidP="001A0D9D"/>
    <w:p w:rsidR="001A0D9D" w:rsidRDefault="001A0D9D" w:rsidP="001A0D9D">
      <w:pPr>
        <w:rPr>
          <w:rFonts w:cs="Arial"/>
          <w:b/>
          <w:bCs/>
        </w:rPr>
      </w:pPr>
    </w:p>
    <w:p w:rsidR="00A8065B" w:rsidRDefault="00A8065B"/>
    <w:sectPr w:rsidR="00A8065B" w:rsidSect="004F64A1">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258" w:right="1440" w:bottom="1258" w:left="709"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2C" w:rsidRDefault="0022122C" w:rsidP="0022122C">
      <w:r>
        <w:separator/>
      </w:r>
    </w:p>
  </w:endnote>
  <w:endnote w:type="continuationSeparator" w:id="0">
    <w:p w:rsidR="0022122C" w:rsidRDefault="0022122C" w:rsidP="002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Default="00221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Default="00221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Default="0022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2C" w:rsidRDefault="0022122C" w:rsidP="0022122C">
      <w:r>
        <w:separator/>
      </w:r>
    </w:p>
  </w:footnote>
  <w:footnote w:type="continuationSeparator" w:id="0">
    <w:p w:rsidR="0022122C" w:rsidRDefault="0022122C" w:rsidP="0022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Default="00221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Pr="0022122C" w:rsidRDefault="0022122C">
    <w:pPr>
      <w:pStyle w:val="Heade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bookmarkStart w:id="0" w:name="_GoBack"/>
    <w:bookmarkEnd w:id="0"/>
    <w:r w:rsidRPr="0022122C">
      <w:rPr>
        <w:sz w:val="48"/>
        <w:szCs w:val="48"/>
      </w:rPr>
      <w:t>Appendix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C" w:rsidRDefault="002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98365C6"/>
    <w:multiLevelType w:val="multilevel"/>
    <w:tmpl w:val="E67CE66C"/>
    <w:numStyleLink w:val="StyleNumberedLeft0cmHanging075cm"/>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9D"/>
    <w:rsid w:val="00135FB8"/>
    <w:rsid w:val="001A0D9D"/>
    <w:rsid w:val="0022122C"/>
    <w:rsid w:val="004F64A1"/>
    <w:rsid w:val="00A8065B"/>
    <w:rsid w:val="00B37C52"/>
    <w:rsid w:val="00B9268E"/>
    <w:rsid w:val="00DD6FFA"/>
    <w:rsid w:val="00EA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80180-2AFB-4D6C-9DED-9E27FB38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9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A0D9D"/>
    <w:pPr>
      <w:spacing w:after="160" w:line="240" w:lineRule="exact"/>
    </w:pPr>
    <w:rPr>
      <w:rFonts w:ascii="Verdana" w:hAnsi="Verdana"/>
      <w:sz w:val="20"/>
      <w:szCs w:val="20"/>
    </w:rPr>
  </w:style>
  <w:style w:type="paragraph" w:styleId="ListParagraph">
    <w:name w:val="List Paragraph"/>
    <w:basedOn w:val="Normal"/>
    <w:link w:val="ListParagraphChar"/>
    <w:uiPriority w:val="34"/>
    <w:rsid w:val="004F64A1"/>
    <w:pPr>
      <w:numPr>
        <w:numId w:val="2"/>
      </w:numPr>
      <w:tabs>
        <w:tab w:val="left" w:pos="426"/>
      </w:tabs>
      <w:spacing w:after="120"/>
    </w:pPr>
    <w:rPr>
      <w:color w:val="000000"/>
      <w:lang w:eastAsia="en-GB"/>
    </w:rPr>
  </w:style>
  <w:style w:type="numbering" w:customStyle="1" w:styleId="StyleNumberedLeft0cmHanging075cm">
    <w:name w:val="Style Numbered Left:  0 cm Hanging:  0.75 cm"/>
    <w:basedOn w:val="NoList"/>
    <w:rsid w:val="004F64A1"/>
    <w:pPr>
      <w:numPr>
        <w:numId w:val="1"/>
      </w:numPr>
    </w:pPr>
  </w:style>
  <w:style w:type="character" w:customStyle="1" w:styleId="ListParagraphChar">
    <w:name w:val="List Paragraph Char"/>
    <w:link w:val="ListParagraph"/>
    <w:uiPriority w:val="34"/>
    <w:rsid w:val="004F64A1"/>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22122C"/>
    <w:pPr>
      <w:tabs>
        <w:tab w:val="center" w:pos="4513"/>
        <w:tab w:val="right" w:pos="9026"/>
      </w:tabs>
    </w:pPr>
  </w:style>
  <w:style w:type="character" w:customStyle="1" w:styleId="HeaderChar">
    <w:name w:val="Header Char"/>
    <w:basedOn w:val="DefaultParagraphFont"/>
    <w:link w:val="Header"/>
    <w:uiPriority w:val="99"/>
    <w:rsid w:val="0022122C"/>
    <w:rPr>
      <w:rFonts w:ascii="Arial" w:eastAsia="Times New Roman" w:hAnsi="Arial" w:cs="Times New Roman"/>
      <w:sz w:val="24"/>
      <w:szCs w:val="24"/>
    </w:rPr>
  </w:style>
  <w:style w:type="paragraph" w:styleId="Footer">
    <w:name w:val="footer"/>
    <w:basedOn w:val="Normal"/>
    <w:link w:val="FooterChar"/>
    <w:uiPriority w:val="99"/>
    <w:unhideWhenUsed/>
    <w:rsid w:val="0022122C"/>
    <w:pPr>
      <w:tabs>
        <w:tab w:val="center" w:pos="4513"/>
        <w:tab w:val="right" w:pos="9026"/>
      </w:tabs>
    </w:pPr>
  </w:style>
  <w:style w:type="character" w:customStyle="1" w:styleId="FooterChar">
    <w:name w:val="Footer Char"/>
    <w:basedOn w:val="DefaultParagraphFont"/>
    <w:link w:val="Footer"/>
    <w:uiPriority w:val="99"/>
    <w:rsid w:val="002212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B3F583F8</Template>
  <TotalTime>37</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Sarah B.</dc:creator>
  <cp:keywords/>
  <dc:description/>
  <cp:lastModifiedBy>MITCHELL John</cp:lastModifiedBy>
  <cp:revision>7</cp:revision>
  <dcterms:created xsi:type="dcterms:W3CDTF">2020-05-12T12:15:00Z</dcterms:created>
  <dcterms:modified xsi:type="dcterms:W3CDTF">2020-05-22T09:12:00Z</dcterms:modified>
</cp:coreProperties>
</file>